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DDE2A" w14:textId="77777777" w:rsidR="00B52E19" w:rsidRDefault="00B52E19" w:rsidP="00625931">
      <w:pPr>
        <w:spacing w:after="0"/>
        <w:jc w:val="center"/>
        <w:rPr>
          <w:b/>
          <w:bCs/>
          <w:color w:val="0070C0"/>
          <w:sz w:val="24"/>
          <w:szCs w:val="24"/>
        </w:rPr>
      </w:pPr>
      <w:r>
        <w:rPr>
          <w:b/>
          <w:bCs/>
          <w:color w:val="0070C0"/>
          <w:sz w:val="24"/>
          <w:szCs w:val="24"/>
        </w:rPr>
        <w:t xml:space="preserve">Nuove strategie energetiche e modelli di valorizzazione economico-sociale: </w:t>
      </w:r>
    </w:p>
    <w:p w14:paraId="7139761D" w14:textId="7879242E" w:rsidR="00EB5A3F" w:rsidRPr="000755CD" w:rsidRDefault="00B52E19" w:rsidP="00625931">
      <w:pPr>
        <w:spacing w:after="0"/>
        <w:jc w:val="center"/>
        <w:rPr>
          <w:b/>
          <w:bCs/>
          <w:color w:val="0070C0"/>
          <w:sz w:val="24"/>
          <w:szCs w:val="24"/>
        </w:rPr>
      </w:pPr>
      <w:r>
        <w:rPr>
          <w:b/>
          <w:bCs/>
          <w:color w:val="0070C0"/>
          <w:sz w:val="24"/>
          <w:szCs w:val="24"/>
        </w:rPr>
        <w:t xml:space="preserve">le </w:t>
      </w:r>
      <w:r w:rsidR="00EB5A3F" w:rsidRPr="000755CD">
        <w:rPr>
          <w:b/>
          <w:bCs/>
          <w:color w:val="0070C0"/>
          <w:sz w:val="24"/>
          <w:szCs w:val="24"/>
        </w:rPr>
        <w:t>Comunità Energetiche</w:t>
      </w:r>
    </w:p>
    <w:p w14:paraId="5C57E9B8" w14:textId="6CCFB309" w:rsidR="00EB5A3F" w:rsidRPr="000755CD" w:rsidRDefault="00EB5A3F" w:rsidP="00332290">
      <w:pPr>
        <w:spacing w:after="0"/>
        <w:jc w:val="center"/>
        <w:rPr>
          <w:color w:val="0070C0"/>
        </w:rPr>
      </w:pPr>
      <w:r w:rsidRPr="000755CD">
        <w:rPr>
          <w:color w:val="0070C0"/>
        </w:rPr>
        <w:t xml:space="preserve">Mercoledì 21 </w:t>
      </w:r>
      <w:r w:rsidR="00550136" w:rsidRPr="000755CD">
        <w:rPr>
          <w:color w:val="0070C0"/>
        </w:rPr>
        <w:t>maggio</w:t>
      </w:r>
      <w:r w:rsidRPr="000755CD">
        <w:rPr>
          <w:color w:val="0070C0"/>
        </w:rPr>
        <w:t xml:space="preserve"> 2025</w:t>
      </w:r>
    </w:p>
    <w:p w14:paraId="4E4F3E10" w14:textId="77777777" w:rsidR="000D6F50" w:rsidRPr="000755CD" w:rsidRDefault="00EB5A3F" w:rsidP="00332290">
      <w:pPr>
        <w:spacing w:after="0"/>
        <w:jc w:val="center"/>
        <w:rPr>
          <w:color w:val="0070C0"/>
        </w:rPr>
      </w:pPr>
      <w:r w:rsidRPr="000755CD">
        <w:rPr>
          <w:color w:val="0070C0"/>
        </w:rPr>
        <w:t xml:space="preserve">Sala </w:t>
      </w:r>
      <w:r w:rsidR="00F439B1" w:rsidRPr="000755CD">
        <w:rPr>
          <w:color w:val="0070C0"/>
        </w:rPr>
        <w:t xml:space="preserve">Delegazione Roma </w:t>
      </w:r>
      <w:r w:rsidR="0084280B" w:rsidRPr="000755CD">
        <w:rPr>
          <w:color w:val="0070C0"/>
        </w:rPr>
        <w:t>della</w:t>
      </w:r>
      <w:r w:rsidR="00F439B1" w:rsidRPr="000755CD">
        <w:rPr>
          <w:color w:val="0070C0"/>
        </w:rPr>
        <w:t xml:space="preserve"> </w:t>
      </w:r>
      <w:r w:rsidRPr="000755CD">
        <w:rPr>
          <w:color w:val="0070C0"/>
        </w:rPr>
        <w:t>Reg</w:t>
      </w:r>
      <w:r w:rsidR="00724B72" w:rsidRPr="000755CD">
        <w:rPr>
          <w:color w:val="0070C0"/>
        </w:rPr>
        <w:t>ione</w:t>
      </w:r>
      <w:r w:rsidRPr="000755CD">
        <w:rPr>
          <w:color w:val="0070C0"/>
        </w:rPr>
        <w:t xml:space="preserve"> Lombardia </w:t>
      </w:r>
    </w:p>
    <w:p w14:paraId="42275FE5" w14:textId="2D4971E3" w:rsidR="00D932D5" w:rsidRDefault="00EB5A3F" w:rsidP="00332290">
      <w:pPr>
        <w:spacing w:after="0"/>
        <w:jc w:val="center"/>
      </w:pPr>
      <w:r w:rsidRPr="000755CD">
        <w:rPr>
          <w:color w:val="0070C0"/>
        </w:rPr>
        <w:t>Via del Gesù</w:t>
      </w:r>
      <w:r w:rsidR="00F439B1" w:rsidRPr="000755CD">
        <w:rPr>
          <w:color w:val="0070C0"/>
        </w:rPr>
        <w:t xml:space="preserve">, 57 </w:t>
      </w:r>
      <w:r w:rsidR="00332290" w:rsidRPr="000755CD">
        <w:rPr>
          <w:color w:val="0070C0"/>
        </w:rPr>
        <w:t>–</w:t>
      </w:r>
      <w:r w:rsidR="00F439B1" w:rsidRPr="000755CD">
        <w:rPr>
          <w:color w:val="0070C0"/>
        </w:rPr>
        <w:t xml:space="preserve"> Roma</w:t>
      </w:r>
    </w:p>
    <w:p w14:paraId="73D70C75" w14:textId="372B8789" w:rsidR="005A4113" w:rsidRDefault="005A4113" w:rsidP="00332290">
      <w:pPr>
        <w:spacing w:after="0"/>
        <w:jc w:val="center"/>
      </w:pPr>
    </w:p>
    <w:p w14:paraId="586288B3" w14:textId="26748109" w:rsidR="1FE74477" w:rsidRDefault="1FE74477" w:rsidP="1CAB0CCC">
      <w:pPr>
        <w:shd w:val="clear" w:color="auto" w:fill="FFFFFF" w:themeFill="background1"/>
        <w:spacing w:after="0"/>
        <w:jc w:val="both"/>
        <w:rPr>
          <w:rFonts w:ascii="Aptos" w:eastAsia="Aptos" w:hAnsi="Aptos" w:cs="Aptos"/>
        </w:rPr>
      </w:pPr>
      <w:r w:rsidRPr="1CAB0CCC">
        <w:rPr>
          <w:rFonts w:ascii="Aptos" w:eastAsia="Aptos" w:hAnsi="Aptos" w:cs="Aptos"/>
        </w:rPr>
        <w:t>Le Comunità Energetiche Rinnovabili (CER) rappresentano un elemento chiave per una transizione energetica giusta, poiché uniscono la dimensione sociale alla diffusione delle energie rinnovabili. Non si tratta solo di un cambio di paradigma nella produzione e nell’uso dell’energia, ma di un modello che mette al centro le persone, promuovendo partecipazione, condivisione e benefici diffusi.</w:t>
      </w:r>
    </w:p>
    <w:p w14:paraId="683A4138" w14:textId="7BA50F27" w:rsidR="1FE74477" w:rsidRDefault="1FE74477" w:rsidP="1CAB0CCC">
      <w:pPr>
        <w:shd w:val="clear" w:color="auto" w:fill="FFFFFF" w:themeFill="background1"/>
        <w:spacing w:after="0"/>
        <w:jc w:val="both"/>
        <w:rPr>
          <w:rFonts w:ascii="Aptos" w:eastAsia="Aptos" w:hAnsi="Aptos" w:cs="Aptos"/>
        </w:rPr>
      </w:pPr>
      <w:r w:rsidRPr="1CAB0CCC">
        <w:rPr>
          <w:rFonts w:ascii="Aptos" w:eastAsia="Aptos" w:hAnsi="Aptos" w:cs="Aptos"/>
        </w:rPr>
        <w:t xml:space="preserve"> </w:t>
      </w:r>
    </w:p>
    <w:p w14:paraId="78C89D08" w14:textId="3378409E" w:rsidR="1FE74477" w:rsidRDefault="1FE74477" w:rsidP="1CAB0CCC">
      <w:pPr>
        <w:shd w:val="clear" w:color="auto" w:fill="FFFFFF" w:themeFill="background1"/>
        <w:spacing w:after="0"/>
        <w:jc w:val="both"/>
        <w:rPr>
          <w:rFonts w:ascii="Aptos" w:eastAsia="Aptos" w:hAnsi="Aptos" w:cs="Aptos"/>
        </w:rPr>
      </w:pPr>
      <w:r w:rsidRPr="1CAB0CCC">
        <w:rPr>
          <w:rFonts w:ascii="Aptos" w:eastAsia="Aptos" w:hAnsi="Aptos" w:cs="Aptos"/>
        </w:rPr>
        <w:t>Affinché le CER possano affermarsi nel panorama energetico italiano, è fondamentale diffondere una maggiore consapevolezza sul loro valore e sul ruolo che cittadini, imprese ed enti locali possono svolgere nel guidare la trasformazione del sistema energetico.</w:t>
      </w:r>
    </w:p>
    <w:p w14:paraId="57E6ADCD" w14:textId="545D7BE7" w:rsidR="1FE74477" w:rsidRDefault="1FE74477" w:rsidP="1CAB0CCC">
      <w:pPr>
        <w:shd w:val="clear" w:color="auto" w:fill="FFFFFF" w:themeFill="background1"/>
        <w:spacing w:after="0"/>
        <w:jc w:val="both"/>
        <w:rPr>
          <w:rFonts w:ascii="Aptos" w:eastAsia="Aptos" w:hAnsi="Aptos" w:cs="Aptos"/>
        </w:rPr>
      </w:pPr>
      <w:r w:rsidRPr="1CAB0CCC">
        <w:rPr>
          <w:rFonts w:ascii="Aptos" w:eastAsia="Aptos" w:hAnsi="Aptos" w:cs="Aptos"/>
        </w:rPr>
        <w:t xml:space="preserve"> </w:t>
      </w:r>
    </w:p>
    <w:p w14:paraId="1F34BE63" w14:textId="1D0DD6E9" w:rsidR="1FE74477" w:rsidRDefault="1FE74477" w:rsidP="1CAB0CCC">
      <w:pPr>
        <w:jc w:val="both"/>
        <w:rPr>
          <w:rFonts w:eastAsiaTheme="minorEastAsia"/>
        </w:rPr>
      </w:pPr>
      <w:r w:rsidRPr="1CAB0CCC">
        <w:rPr>
          <w:rFonts w:ascii="Aptos" w:eastAsia="Aptos" w:hAnsi="Aptos" w:cs="Aptos"/>
        </w:rPr>
        <w:t xml:space="preserve">L’evento si propone </w:t>
      </w:r>
      <w:r w:rsidR="779197B9" w:rsidRPr="1CAB0CCC">
        <w:rPr>
          <w:rFonts w:ascii="Aptos" w:eastAsia="Aptos" w:hAnsi="Aptos" w:cs="Aptos"/>
        </w:rPr>
        <w:t>come momento</w:t>
      </w:r>
      <w:r w:rsidRPr="1CAB0CCC">
        <w:rPr>
          <w:rFonts w:ascii="Aptos" w:eastAsia="Aptos" w:hAnsi="Aptos" w:cs="Aptos"/>
        </w:rPr>
        <w:t xml:space="preserve"> di incontro e confronto tra </w:t>
      </w:r>
      <w:r w:rsidR="73A59F46" w:rsidRPr="1CAB0CCC">
        <w:rPr>
          <w:rFonts w:ascii="Aptos" w:eastAsia="Aptos" w:hAnsi="Aptos" w:cs="Aptos"/>
        </w:rPr>
        <w:t>i diversi</w:t>
      </w:r>
      <w:r w:rsidRPr="1CAB0CCC">
        <w:rPr>
          <w:rFonts w:ascii="Aptos" w:eastAsia="Aptos" w:hAnsi="Aptos" w:cs="Aptos"/>
        </w:rPr>
        <w:t xml:space="preserve"> attori chiave coinvolti nello sviluppo, gestione e promozione delle CER. L’obiettivo è </w:t>
      </w:r>
      <w:r w:rsidR="1B9C8B05" w:rsidRPr="1CAB0CCC">
        <w:rPr>
          <w:rFonts w:ascii="Aptos" w:eastAsia="Aptos" w:hAnsi="Aptos" w:cs="Aptos"/>
        </w:rPr>
        <w:t xml:space="preserve">diffondere e </w:t>
      </w:r>
      <w:r w:rsidRPr="1CAB0CCC">
        <w:rPr>
          <w:rFonts w:ascii="Aptos" w:eastAsia="Aptos" w:hAnsi="Aptos" w:cs="Aptos"/>
        </w:rPr>
        <w:t xml:space="preserve">rafforzare </w:t>
      </w:r>
      <w:r w:rsidR="7A9DC29A" w:rsidRPr="1CAB0CCC">
        <w:rPr>
          <w:rFonts w:ascii="Aptos" w:eastAsia="Aptos" w:hAnsi="Aptos" w:cs="Aptos"/>
        </w:rPr>
        <w:t xml:space="preserve">il loro ruolo </w:t>
      </w:r>
      <w:r w:rsidR="5D81A87F" w:rsidRPr="1CAB0CCC">
        <w:rPr>
          <w:rFonts w:ascii="Aptos" w:eastAsia="Aptos" w:hAnsi="Aptos" w:cs="Aptos"/>
        </w:rPr>
        <w:t xml:space="preserve">e </w:t>
      </w:r>
      <w:r w:rsidR="7AA14F4A" w:rsidRPr="1CAB0CCC">
        <w:rPr>
          <w:rFonts w:ascii="Aptos" w:eastAsia="Aptos" w:hAnsi="Aptos" w:cs="Aptos"/>
        </w:rPr>
        <w:t>contributo nel</w:t>
      </w:r>
      <w:r w:rsidR="5D81A87F" w:rsidRPr="1CAB0CCC">
        <w:rPr>
          <w:rFonts w:ascii="Aptos" w:eastAsia="Aptos" w:hAnsi="Aptos" w:cs="Aptos"/>
        </w:rPr>
        <w:t xml:space="preserve"> </w:t>
      </w:r>
      <w:r w:rsidR="5E47F43B" w:rsidRPr="1CAB0CCC">
        <w:rPr>
          <w:rFonts w:eastAsiaTheme="minorEastAsia"/>
        </w:rPr>
        <w:t>promuovere la sostenibilità ambientale economica e sociale del nostro Paese, riducendone parallelamente la dipendenza energetica ed aprendo la strada a nuove strategie di gestione del territorio e a nuovi servizi e tecnologi</w:t>
      </w:r>
      <w:r w:rsidR="1B70678C" w:rsidRPr="1CAB0CCC">
        <w:rPr>
          <w:rFonts w:eastAsiaTheme="minorEastAsia"/>
        </w:rPr>
        <w:t>e.</w:t>
      </w:r>
      <w:r w:rsidR="5E47F43B" w:rsidRPr="1CAB0CCC">
        <w:rPr>
          <w:rFonts w:eastAsiaTheme="minorEastAsia"/>
        </w:rPr>
        <w:t xml:space="preserve"> </w:t>
      </w:r>
      <w:r w:rsidR="6791F8F0" w:rsidRPr="1CAB0CCC">
        <w:rPr>
          <w:rFonts w:eastAsiaTheme="minorEastAsia"/>
        </w:rPr>
        <w:t>La costruzione di dialoghi costruttivi e collaborativi è</w:t>
      </w:r>
      <w:r w:rsidR="10C4418C" w:rsidRPr="1CAB0CCC">
        <w:rPr>
          <w:rFonts w:eastAsiaTheme="minorEastAsia"/>
        </w:rPr>
        <w:t xml:space="preserve"> inoltre indispensabile</w:t>
      </w:r>
      <w:r w:rsidR="6791F8F0" w:rsidRPr="1CAB0CCC">
        <w:rPr>
          <w:rFonts w:eastAsiaTheme="minorEastAsia"/>
        </w:rPr>
        <w:t xml:space="preserve"> per affrontare i futuri sviluppi normativi, tecnologici e di mercato</w:t>
      </w:r>
      <w:r w:rsidR="46E69C4F" w:rsidRPr="1CAB0CCC">
        <w:rPr>
          <w:rFonts w:eastAsiaTheme="minorEastAsia"/>
        </w:rPr>
        <w:t>.</w:t>
      </w:r>
    </w:p>
    <w:p w14:paraId="291026AA" w14:textId="369D6BDE" w:rsidR="576A7E52" w:rsidRDefault="576A7E52" w:rsidP="7F8F48A6">
      <w:pPr>
        <w:spacing w:after="0"/>
        <w:jc w:val="center"/>
        <w:rPr>
          <w:b/>
          <w:bCs/>
          <w:sz w:val="24"/>
          <w:szCs w:val="24"/>
        </w:rPr>
      </w:pPr>
      <w:r w:rsidRPr="7F8F48A6">
        <w:rPr>
          <w:b/>
          <w:bCs/>
          <w:sz w:val="24"/>
          <w:szCs w:val="24"/>
        </w:rPr>
        <w:t>Programma</w:t>
      </w:r>
    </w:p>
    <w:p w14:paraId="6DDEE36B" w14:textId="06E0FBB7" w:rsidR="00CE6BCB" w:rsidRDefault="00CE6BCB" w:rsidP="005E3AFF">
      <w:pPr>
        <w:spacing w:after="0"/>
      </w:pPr>
      <w:r>
        <w:t>9:00 Registrazione</w:t>
      </w:r>
    </w:p>
    <w:p w14:paraId="731213C5" w14:textId="77777777" w:rsidR="00925884" w:rsidRDefault="00925884" w:rsidP="005E3AFF">
      <w:pPr>
        <w:spacing w:after="0"/>
      </w:pPr>
    </w:p>
    <w:p w14:paraId="7814EE14" w14:textId="55FE68E1" w:rsidR="00B16814" w:rsidRDefault="00D932D5" w:rsidP="005E3AFF">
      <w:pPr>
        <w:spacing w:after="0"/>
      </w:pPr>
      <w:r>
        <w:t xml:space="preserve">9:30 </w:t>
      </w:r>
      <w:r w:rsidR="005D425C">
        <w:t>Saluti</w:t>
      </w:r>
      <w:r w:rsidR="00CE6BCB">
        <w:t xml:space="preserve"> e introduzione</w:t>
      </w:r>
      <w:r w:rsidR="00E57260">
        <w:t xml:space="preserve"> lavori</w:t>
      </w:r>
    </w:p>
    <w:p w14:paraId="7B96AE07" w14:textId="0B1477E2" w:rsidR="00D932D5" w:rsidRPr="00D932D5" w:rsidRDefault="00CE6BCB" w:rsidP="005E3AFF">
      <w:pPr>
        <w:spacing w:after="0"/>
      </w:pPr>
      <w:r>
        <w:t xml:space="preserve">G. Monteleone, </w:t>
      </w:r>
      <w:r w:rsidR="00B16814">
        <w:t xml:space="preserve">Direttrice Dipartimento Tecnologie Energetiche e Fonti Rinnovabili, </w:t>
      </w:r>
      <w:r w:rsidR="00D932D5">
        <w:t>ENEA</w:t>
      </w:r>
    </w:p>
    <w:p w14:paraId="75EE61A3" w14:textId="77777777" w:rsidR="00E57260" w:rsidRDefault="00E57260" w:rsidP="005E3AFF">
      <w:pPr>
        <w:spacing w:after="0"/>
        <w:rPr>
          <w:b/>
          <w:bCs/>
        </w:rPr>
      </w:pPr>
    </w:p>
    <w:p w14:paraId="7A51808C" w14:textId="0319B3D5" w:rsidR="00E57260" w:rsidRDefault="00E57260" w:rsidP="005E3AFF">
      <w:pPr>
        <w:spacing w:after="0"/>
      </w:pPr>
      <w:r w:rsidRPr="1CAB0CCC">
        <w:rPr>
          <w:b/>
          <w:bCs/>
        </w:rPr>
        <w:t>Modera</w:t>
      </w:r>
      <w:r w:rsidR="00925884" w:rsidRPr="1CAB0CCC">
        <w:rPr>
          <w:b/>
          <w:bCs/>
        </w:rPr>
        <w:t>tori</w:t>
      </w:r>
      <w:r w:rsidR="00E40F77" w:rsidRPr="1CAB0CCC">
        <w:rPr>
          <w:b/>
          <w:bCs/>
        </w:rPr>
        <w:t xml:space="preserve">: </w:t>
      </w:r>
      <w:r w:rsidR="00E40F77">
        <w:t>Paolo Zangheri (ENEA), E. Martinelli (Energia Media)</w:t>
      </w:r>
    </w:p>
    <w:p w14:paraId="665990BA" w14:textId="6A72D8FD" w:rsidR="1CAB0CCC" w:rsidRDefault="1CAB0CCC" w:rsidP="1CAB0CCC">
      <w:pPr>
        <w:spacing w:after="0"/>
        <w:rPr>
          <w:b/>
          <w:bCs/>
        </w:rPr>
      </w:pPr>
    </w:p>
    <w:p w14:paraId="1D97194F" w14:textId="7AB9D131" w:rsidR="00D932D5" w:rsidRPr="00B721C3" w:rsidRDefault="00B721C3" w:rsidP="00B721C3">
      <w:pPr>
        <w:spacing w:after="0"/>
        <w:rPr>
          <w:b/>
          <w:bCs/>
        </w:rPr>
      </w:pPr>
      <w:r>
        <w:rPr>
          <w:b/>
          <w:bCs/>
        </w:rPr>
        <w:t>9:45</w:t>
      </w:r>
      <w:r w:rsidR="00624003">
        <w:rPr>
          <w:b/>
          <w:bCs/>
        </w:rPr>
        <w:t xml:space="preserve"> </w:t>
      </w:r>
      <w:r w:rsidR="009F4F16" w:rsidRPr="00B721C3">
        <w:rPr>
          <w:b/>
          <w:bCs/>
        </w:rPr>
        <w:t>– 10</w:t>
      </w:r>
      <w:r>
        <w:rPr>
          <w:b/>
          <w:bCs/>
        </w:rPr>
        <w:t>:</w:t>
      </w:r>
      <w:r w:rsidR="00E00DAC">
        <w:rPr>
          <w:b/>
          <w:bCs/>
        </w:rPr>
        <w:t>30</w:t>
      </w:r>
      <w:r w:rsidR="009F4F16" w:rsidRPr="00B721C3">
        <w:rPr>
          <w:b/>
          <w:bCs/>
        </w:rPr>
        <w:t xml:space="preserve"> </w:t>
      </w:r>
      <w:r w:rsidR="009F33B6">
        <w:rPr>
          <w:b/>
          <w:bCs/>
        </w:rPr>
        <w:t>–</w:t>
      </w:r>
      <w:r w:rsidR="009F4F16" w:rsidRPr="00B721C3">
        <w:rPr>
          <w:b/>
          <w:bCs/>
        </w:rPr>
        <w:t xml:space="preserve"> </w:t>
      </w:r>
      <w:r w:rsidR="009F33B6">
        <w:rPr>
          <w:b/>
          <w:bCs/>
        </w:rPr>
        <w:t>Politiche per le Comunità Energetiche</w:t>
      </w:r>
    </w:p>
    <w:p w14:paraId="48B2A17F" w14:textId="7B86FF37" w:rsidR="00D932D5" w:rsidRPr="00D932D5" w:rsidRDefault="00D932D5" w:rsidP="005E3AFF">
      <w:pPr>
        <w:spacing w:after="0"/>
      </w:pPr>
      <w:r>
        <w:t>Ambito nazionale</w:t>
      </w:r>
      <w:r w:rsidR="403213D4">
        <w:t xml:space="preserve">, P. </w:t>
      </w:r>
      <w:r>
        <w:t>Arrigoni</w:t>
      </w:r>
      <w:r w:rsidR="00B16814">
        <w:t xml:space="preserve">, </w:t>
      </w:r>
      <w:r w:rsidR="00FB4C6E">
        <w:t xml:space="preserve">Presidente </w:t>
      </w:r>
      <w:r>
        <w:t xml:space="preserve">  GSE</w:t>
      </w:r>
      <w:r w:rsidR="000131BD">
        <w:t>*</w:t>
      </w:r>
    </w:p>
    <w:p w14:paraId="07EA6F04" w14:textId="5383CFC0" w:rsidR="00D932D5" w:rsidRPr="00D932D5" w:rsidRDefault="00D932D5" w:rsidP="005E3AFF">
      <w:pPr>
        <w:spacing w:after="0"/>
      </w:pPr>
      <w:r>
        <w:t>Ambito regionale</w:t>
      </w:r>
      <w:r w:rsidR="1A260BB6">
        <w:t xml:space="preserve">, </w:t>
      </w:r>
      <w:r w:rsidR="002353E0">
        <w:t>E. Colombo</w:t>
      </w:r>
      <w:r w:rsidR="00FB4C6E">
        <w:t xml:space="preserve">, </w:t>
      </w:r>
      <w:r w:rsidR="000569AE">
        <w:t>Dirigente UO Risorse Energetiche</w:t>
      </w:r>
      <w:r w:rsidR="00FB4C6E">
        <w:t xml:space="preserve"> Regione Lombardia</w:t>
      </w:r>
    </w:p>
    <w:p w14:paraId="7A3DF9A9" w14:textId="77777777" w:rsidR="00517070" w:rsidRPr="00D932D5" w:rsidRDefault="00517070" w:rsidP="005E3AFF">
      <w:pPr>
        <w:spacing w:after="0"/>
      </w:pPr>
    </w:p>
    <w:p w14:paraId="399677C4" w14:textId="12D6FFFD" w:rsidR="00D932D5" w:rsidRPr="00D932D5" w:rsidRDefault="009F4F16" w:rsidP="009F4F16">
      <w:pPr>
        <w:spacing w:after="0"/>
      </w:pPr>
      <w:r>
        <w:rPr>
          <w:b/>
          <w:bCs/>
        </w:rPr>
        <w:t>10</w:t>
      </w:r>
      <w:r w:rsidR="003B7418">
        <w:rPr>
          <w:b/>
          <w:bCs/>
        </w:rPr>
        <w:t>:30</w:t>
      </w:r>
      <w:r w:rsidR="00624003">
        <w:rPr>
          <w:b/>
          <w:bCs/>
        </w:rPr>
        <w:t xml:space="preserve"> </w:t>
      </w:r>
      <w:r w:rsidR="003B7418">
        <w:rPr>
          <w:b/>
          <w:bCs/>
        </w:rPr>
        <w:t>-</w:t>
      </w:r>
      <w:r w:rsidR="00624003">
        <w:rPr>
          <w:b/>
          <w:bCs/>
        </w:rPr>
        <w:t xml:space="preserve"> </w:t>
      </w:r>
      <w:r w:rsidR="003B7418">
        <w:rPr>
          <w:b/>
          <w:bCs/>
        </w:rPr>
        <w:t xml:space="preserve">11:10 - </w:t>
      </w:r>
      <w:r w:rsidR="00300FAD" w:rsidRPr="009F4F16">
        <w:rPr>
          <w:b/>
          <w:bCs/>
        </w:rPr>
        <w:t>T</w:t>
      </w:r>
      <w:r w:rsidR="00D932D5" w:rsidRPr="009F4F16">
        <w:rPr>
          <w:b/>
          <w:bCs/>
        </w:rPr>
        <w:t>avola rotonda</w:t>
      </w:r>
      <w:r w:rsidR="009F33B6">
        <w:rPr>
          <w:b/>
          <w:bCs/>
        </w:rPr>
        <w:t xml:space="preserve">: </w:t>
      </w:r>
      <w:r w:rsidR="009214EE">
        <w:rPr>
          <w:b/>
          <w:bCs/>
        </w:rPr>
        <w:t xml:space="preserve">gli </w:t>
      </w:r>
      <w:r w:rsidR="00D932D5" w:rsidRPr="009F4F16">
        <w:rPr>
          <w:b/>
          <w:bCs/>
        </w:rPr>
        <w:t>aspetti di governance</w:t>
      </w:r>
    </w:p>
    <w:p w14:paraId="5C7D7F6E" w14:textId="5787B1F1" w:rsidR="00D932D5" w:rsidRPr="0038535C" w:rsidRDefault="00B9548F" w:rsidP="1CAB0CCC">
      <w:pPr>
        <w:spacing w:after="0"/>
        <w:rPr>
          <w:color w:val="3A7C22" w:themeColor="accent6" w:themeShade="BF"/>
        </w:rPr>
      </w:pPr>
      <w:r w:rsidRPr="1CAB0CCC">
        <w:t xml:space="preserve">L. </w:t>
      </w:r>
      <w:r w:rsidR="00D932D5" w:rsidRPr="1CAB0CCC">
        <w:t>Terenzi</w:t>
      </w:r>
      <w:r w:rsidR="00E53173" w:rsidRPr="1CAB0CCC">
        <w:t>,</w:t>
      </w:r>
      <w:r w:rsidR="00D932D5" w:rsidRPr="1CAB0CCC">
        <w:t xml:space="preserve"> </w:t>
      </w:r>
      <w:proofErr w:type="spellStart"/>
      <w:r w:rsidR="00D932D5" w:rsidRPr="1CAB0CCC">
        <w:t>Greensquare</w:t>
      </w:r>
      <w:proofErr w:type="spellEnd"/>
      <w:r w:rsidR="00E53173" w:rsidRPr="1CAB0CCC">
        <w:t xml:space="preserve"> Italia</w:t>
      </w:r>
    </w:p>
    <w:p w14:paraId="558E8802" w14:textId="2D36CEE7" w:rsidR="00D932D5" w:rsidRPr="0038535C" w:rsidRDefault="00E53173" w:rsidP="1CAB0CCC">
      <w:pPr>
        <w:spacing w:after="0"/>
      </w:pPr>
      <w:r w:rsidRPr="1CAB0CCC">
        <w:t xml:space="preserve">V. </w:t>
      </w:r>
      <w:proofErr w:type="spellStart"/>
      <w:r w:rsidR="00D932D5" w:rsidRPr="1CAB0CCC">
        <w:t>Scipinotti</w:t>
      </w:r>
      <w:proofErr w:type="spellEnd"/>
      <w:r w:rsidRPr="1CAB0CCC">
        <w:t xml:space="preserve">, </w:t>
      </w:r>
      <w:r w:rsidR="67F93289" w:rsidRPr="1CAB0CCC">
        <w:t>E</w:t>
      </w:r>
      <w:r w:rsidR="00D932D5" w:rsidRPr="1CAB0CCC">
        <w:t>20</w:t>
      </w:r>
    </w:p>
    <w:p w14:paraId="5804A7E4" w14:textId="386D7862" w:rsidR="00D932D5" w:rsidRPr="0038535C" w:rsidRDefault="00A06DDA" w:rsidP="1CAB0CCC">
      <w:pPr>
        <w:spacing w:after="0"/>
      </w:pPr>
      <w:r w:rsidRPr="1CAB0CCC">
        <w:t xml:space="preserve">A. </w:t>
      </w:r>
      <w:proofErr w:type="spellStart"/>
      <w:r w:rsidR="00D932D5" w:rsidRPr="1CAB0CCC">
        <w:t>Bru</w:t>
      </w:r>
      <w:r w:rsidR="00A94A46" w:rsidRPr="1CAB0CCC">
        <w:t>m</w:t>
      </w:r>
      <w:r w:rsidR="00D932D5" w:rsidRPr="1CAB0CCC">
        <w:t>gnach</w:t>
      </w:r>
      <w:proofErr w:type="spellEnd"/>
      <w:r w:rsidRPr="1CAB0CCC">
        <w:t xml:space="preserve">, </w:t>
      </w:r>
      <w:r w:rsidR="00D932D5" w:rsidRPr="1CAB0CCC">
        <w:t>CERESS/Italia Solare</w:t>
      </w:r>
    </w:p>
    <w:p w14:paraId="45A9B6A3" w14:textId="0E74E20D" w:rsidR="00D932D5" w:rsidRPr="00D932D5" w:rsidRDefault="009A3EAD" w:rsidP="005E3AFF">
      <w:pPr>
        <w:spacing w:after="0"/>
      </w:pPr>
      <w:r>
        <w:t xml:space="preserve">S. </w:t>
      </w:r>
      <w:r w:rsidR="006E1B30">
        <w:t>Chiassai Martini</w:t>
      </w:r>
      <w:r w:rsidR="203C32A8">
        <w:t xml:space="preserve">, </w:t>
      </w:r>
      <w:r w:rsidR="006E1B30">
        <w:t xml:space="preserve">Fondazione CER </w:t>
      </w:r>
      <w:r w:rsidR="00091951">
        <w:t xml:space="preserve">Italia </w:t>
      </w:r>
    </w:p>
    <w:p w14:paraId="1AD058C5" w14:textId="77777777" w:rsidR="00D932D5" w:rsidRDefault="00D932D5" w:rsidP="005E3AFF">
      <w:pPr>
        <w:spacing w:after="0"/>
      </w:pPr>
    </w:p>
    <w:p w14:paraId="6125B100" w14:textId="77777777" w:rsidR="00517070" w:rsidRPr="00D932D5" w:rsidRDefault="00517070" w:rsidP="005E3AFF">
      <w:pPr>
        <w:spacing w:after="0"/>
      </w:pPr>
      <w:r w:rsidRPr="00D932D5">
        <w:rPr>
          <w:b/>
          <w:bCs/>
        </w:rPr>
        <w:t>Domande dal pubblico</w:t>
      </w:r>
    </w:p>
    <w:p w14:paraId="790C6704" w14:textId="77777777" w:rsidR="00517070" w:rsidRPr="00D932D5" w:rsidRDefault="00517070" w:rsidP="005E3AFF">
      <w:pPr>
        <w:spacing w:after="0"/>
      </w:pPr>
    </w:p>
    <w:p w14:paraId="45EA30F8" w14:textId="709B8BD0" w:rsidR="00D932D5" w:rsidRPr="00D932D5" w:rsidRDefault="00C94665" w:rsidP="005E3AFF">
      <w:pPr>
        <w:spacing w:after="0"/>
        <w:rPr>
          <w:b/>
          <w:bCs/>
        </w:rPr>
      </w:pPr>
      <w:r>
        <w:rPr>
          <w:b/>
          <w:bCs/>
        </w:rPr>
        <w:t>11</w:t>
      </w:r>
      <w:r w:rsidR="00624003">
        <w:rPr>
          <w:b/>
          <w:bCs/>
        </w:rPr>
        <w:t xml:space="preserve">:10 </w:t>
      </w:r>
      <w:r w:rsidR="008A303C">
        <w:rPr>
          <w:b/>
          <w:bCs/>
        </w:rPr>
        <w:t>– 12:00</w:t>
      </w:r>
      <w:r w:rsidR="00624003">
        <w:rPr>
          <w:b/>
          <w:bCs/>
        </w:rPr>
        <w:t xml:space="preserve"> </w:t>
      </w:r>
      <w:r w:rsidR="008C2080">
        <w:rPr>
          <w:b/>
          <w:bCs/>
        </w:rPr>
        <w:t>Infrastrutture e s</w:t>
      </w:r>
      <w:r w:rsidR="00A00632">
        <w:rPr>
          <w:b/>
          <w:bCs/>
        </w:rPr>
        <w:t>oluzioni al servizio delle Comunità Energetiche</w:t>
      </w:r>
    </w:p>
    <w:p w14:paraId="00D8C3A0" w14:textId="57261F93" w:rsidR="00D932D5" w:rsidRPr="0038535C" w:rsidRDefault="00D932D5" w:rsidP="1CAB0CCC">
      <w:pPr>
        <w:spacing w:after="0"/>
      </w:pPr>
      <w:r w:rsidRPr="1CAB0CCC">
        <w:t>Focus su sviluppo delle reti</w:t>
      </w:r>
      <w:r w:rsidR="1FB583D4" w:rsidRPr="1CAB0CCC">
        <w:t xml:space="preserve">, N. </w:t>
      </w:r>
      <w:r w:rsidRPr="1CAB0CCC">
        <w:t>Lanzetta</w:t>
      </w:r>
      <w:r w:rsidR="00012652">
        <w:t xml:space="preserve">, Amministratore Delegato </w:t>
      </w:r>
      <w:r w:rsidRPr="1CAB0CCC">
        <w:t>ENEL</w:t>
      </w:r>
      <w:r w:rsidR="00012652">
        <w:t xml:space="preserve"> </w:t>
      </w:r>
      <w:r w:rsidR="00E14C84">
        <w:t>Italia</w:t>
      </w:r>
    </w:p>
    <w:p w14:paraId="16D5789D" w14:textId="2B232EB0" w:rsidR="00D932D5" w:rsidRDefault="00D932D5" w:rsidP="1CAB0CCC">
      <w:pPr>
        <w:spacing w:after="0"/>
      </w:pPr>
      <w:r w:rsidRPr="1CAB0CCC">
        <w:t>Focus su piattaforme</w:t>
      </w:r>
      <w:r w:rsidR="16DFE105" w:rsidRPr="1CAB0CCC">
        <w:t xml:space="preserve">, F. </w:t>
      </w:r>
      <w:r w:rsidR="001D4959" w:rsidRPr="1CAB0CCC">
        <w:t>Meneghetti</w:t>
      </w:r>
      <w:r w:rsidR="001D4959">
        <w:t xml:space="preserve">, </w:t>
      </w:r>
      <w:r w:rsidR="001D4959" w:rsidRPr="1CAB0CCC">
        <w:t>Fabbrica</w:t>
      </w:r>
      <w:r w:rsidR="005F6CF4">
        <w:t xml:space="preserve"> D</w:t>
      </w:r>
      <w:r w:rsidRPr="1CAB0CCC">
        <w:t>igitale</w:t>
      </w:r>
    </w:p>
    <w:p w14:paraId="55D3DF36" w14:textId="71E9D5CF" w:rsidR="002F761C" w:rsidRDefault="002F761C" w:rsidP="1CAB0CCC">
      <w:pPr>
        <w:spacing w:after="0"/>
      </w:pPr>
      <w:r w:rsidRPr="1CAB0CCC">
        <w:t>Focus su flessibilità</w:t>
      </w:r>
      <w:r w:rsidR="00517070" w:rsidRPr="1CAB0CCC">
        <w:t xml:space="preserve">: </w:t>
      </w:r>
      <w:r w:rsidR="00E14C84" w:rsidRPr="1CAB0CCC">
        <w:t xml:space="preserve">E. De Luca </w:t>
      </w:r>
      <w:proofErr w:type="spellStart"/>
      <w:proofErr w:type="gramStart"/>
      <w:r w:rsidR="00517070" w:rsidRPr="1CAB0CCC">
        <w:t>Romeflex</w:t>
      </w:r>
      <w:proofErr w:type="spellEnd"/>
      <w:r w:rsidRPr="1CAB0CCC">
        <w:t xml:space="preserve"> </w:t>
      </w:r>
      <w:r w:rsidR="4A347FD5" w:rsidRPr="1CAB0CCC">
        <w:t>,</w:t>
      </w:r>
      <w:proofErr w:type="gramEnd"/>
      <w:r w:rsidR="00E14C84">
        <w:t xml:space="preserve"> </w:t>
      </w:r>
      <w:r w:rsidRPr="1CAB0CCC">
        <w:t>ARETI</w:t>
      </w:r>
    </w:p>
    <w:p w14:paraId="3D6788AB" w14:textId="18D90716" w:rsidR="00772E79" w:rsidRPr="002D7E97" w:rsidRDefault="00772E79" w:rsidP="1CAB0CCC">
      <w:pPr>
        <w:spacing w:after="0"/>
      </w:pPr>
      <w:r w:rsidRPr="1CAB0CCC">
        <w:lastRenderedPageBreak/>
        <w:t>Focus su servizi di formazione</w:t>
      </w:r>
      <w:r w:rsidR="22BA7B5C" w:rsidRPr="1CAB0CCC">
        <w:t xml:space="preserve">, F. </w:t>
      </w:r>
      <w:proofErr w:type="spellStart"/>
      <w:r w:rsidRPr="1CAB0CCC">
        <w:t>Crescimbini</w:t>
      </w:r>
      <w:proofErr w:type="spellEnd"/>
      <w:r w:rsidRPr="1CAB0CCC">
        <w:t>, Università Roma Tre</w:t>
      </w:r>
    </w:p>
    <w:p w14:paraId="1680EE50" w14:textId="77777777" w:rsidR="00D932D5" w:rsidRDefault="00D932D5" w:rsidP="005E3AFF">
      <w:pPr>
        <w:spacing w:after="0"/>
      </w:pPr>
    </w:p>
    <w:p w14:paraId="6B4338C8" w14:textId="66346E72" w:rsidR="00D932D5" w:rsidRPr="00D932D5" w:rsidRDefault="00AE2155" w:rsidP="005E3AFF">
      <w:pPr>
        <w:spacing w:after="0"/>
      </w:pPr>
      <w:r>
        <w:rPr>
          <w:b/>
          <w:bCs/>
        </w:rPr>
        <w:t>12:00 – 12:</w:t>
      </w:r>
      <w:r w:rsidR="004029D7">
        <w:rPr>
          <w:b/>
          <w:bCs/>
        </w:rPr>
        <w:t>50</w:t>
      </w:r>
      <w:r>
        <w:rPr>
          <w:b/>
          <w:bCs/>
        </w:rPr>
        <w:t xml:space="preserve"> - </w:t>
      </w:r>
      <w:r w:rsidR="00D932D5" w:rsidRPr="00D932D5">
        <w:rPr>
          <w:b/>
          <w:bCs/>
        </w:rPr>
        <w:t>Tavola rotonda</w:t>
      </w:r>
      <w:r w:rsidR="008C2080">
        <w:rPr>
          <w:b/>
          <w:bCs/>
        </w:rPr>
        <w:t xml:space="preserve">: gli </w:t>
      </w:r>
      <w:r w:rsidR="00D932D5" w:rsidRPr="00D932D5">
        <w:rPr>
          <w:b/>
          <w:bCs/>
        </w:rPr>
        <w:t>aspetti economic</w:t>
      </w:r>
      <w:r w:rsidR="004E1717">
        <w:rPr>
          <w:b/>
          <w:bCs/>
        </w:rPr>
        <w:t>o-finanziari</w:t>
      </w:r>
    </w:p>
    <w:p w14:paraId="0CE63E51" w14:textId="4FAE06D5" w:rsidR="00D932D5" w:rsidRPr="0038535C" w:rsidRDefault="009214EE" w:rsidP="1CAB0CCC">
      <w:pPr>
        <w:spacing w:after="0"/>
      </w:pPr>
      <w:r w:rsidRPr="1CAB0CCC">
        <w:t xml:space="preserve">C. </w:t>
      </w:r>
      <w:r w:rsidR="00D932D5" w:rsidRPr="1CAB0CCC">
        <w:t>Ferrari</w:t>
      </w:r>
      <w:r w:rsidR="43A48D6E" w:rsidRPr="1CAB0CCC">
        <w:t xml:space="preserve">, </w:t>
      </w:r>
      <w:r w:rsidR="007D3C0B">
        <w:t xml:space="preserve">Presidente </w:t>
      </w:r>
      <w:proofErr w:type="spellStart"/>
      <w:r w:rsidR="00D932D5" w:rsidRPr="1CAB0CCC">
        <w:t>Federesco</w:t>
      </w:r>
      <w:proofErr w:type="spellEnd"/>
    </w:p>
    <w:p w14:paraId="77F169A3" w14:textId="1ACEC519" w:rsidR="00D932D5" w:rsidRPr="0038535C" w:rsidRDefault="004E1717" w:rsidP="1CAB0CCC">
      <w:pPr>
        <w:spacing w:after="0"/>
      </w:pPr>
      <w:r w:rsidRPr="1CAB0CCC">
        <w:t xml:space="preserve">P. </w:t>
      </w:r>
      <w:r w:rsidR="00D932D5" w:rsidRPr="1CAB0CCC">
        <w:t>Bellotti</w:t>
      </w:r>
      <w:r w:rsidR="20BCDE2F" w:rsidRPr="1CAB0CCC">
        <w:t xml:space="preserve">, </w:t>
      </w:r>
      <w:r w:rsidR="00B84159">
        <w:t xml:space="preserve">Direttrice Sostenibilità e Sviluppo, </w:t>
      </w:r>
      <w:proofErr w:type="spellStart"/>
      <w:r w:rsidR="00D932D5" w:rsidRPr="1CAB0CCC">
        <w:t>Coopfond</w:t>
      </w:r>
      <w:proofErr w:type="spellEnd"/>
    </w:p>
    <w:p w14:paraId="036E859C" w14:textId="26E24D7B" w:rsidR="00D932D5" w:rsidRPr="00AE2EF0" w:rsidRDefault="00771EA4" w:rsidP="005E3AFF">
      <w:pPr>
        <w:spacing w:after="0"/>
      </w:pPr>
      <w:r>
        <w:t xml:space="preserve">P. Ferraresi,  </w:t>
      </w:r>
      <w:r w:rsidR="00FC2A8D">
        <w:t xml:space="preserve">Ufficio Sviluppo e orientamento Crediti, </w:t>
      </w:r>
      <w:r w:rsidR="0011B5FC">
        <w:t>Banca Etica</w:t>
      </w:r>
      <w:r w:rsidR="00EB5A3F">
        <w:t xml:space="preserve"> </w:t>
      </w:r>
    </w:p>
    <w:p w14:paraId="42085AA8" w14:textId="1A70CF71" w:rsidR="00D932D5" w:rsidRPr="00791FB9" w:rsidRDefault="00D932D5" w:rsidP="005E3AFF">
      <w:pPr>
        <w:spacing w:after="0"/>
      </w:pPr>
      <w:r>
        <w:t>Mediocredito Centrale</w:t>
      </w:r>
      <w:r w:rsidR="001D4959">
        <w:t>*</w:t>
      </w:r>
    </w:p>
    <w:p w14:paraId="39382483" w14:textId="6C5B0AB9" w:rsidR="00517070" w:rsidRPr="00D932D5" w:rsidRDefault="00772E79" w:rsidP="005E3AFF">
      <w:pPr>
        <w:spacing w:after="0"/>
      </w:pPr>
      <w:r>
        <w:t>Banca di Credito Cooperativo/Federcasse *</w:t>
      </w:r>
    </w:p>
    <w:p w14:paraId="558AC695" w14:textId="77777777" w:rsidR="00D932D5" w:rsidRPr="00D932D5" w:rsidRDefault="00D932D5" w:rsidP="005E3AFF">
      <w:pPr>
        <w:spacing w:after="0"/>
      </w:pPr>
    </w:p>
    <w:p w14:paraId="47F11D04" w14:textId="4170DE70" w:rsidR="00D932D5" w:rsidRPr="00D932D5" w:rsidRDefault="00D932D5" w:rsidP="005E3AFF">
      <w:pPr>
        <w:spacing w:after="0"/>
      </w:pPr>
      <w:r w:rsidRPr="00D932D5">
        <w:rPr>
          <w:b/>
          <w:bCs/>
        </w:rPr>
        <w:t>Domande dal pubblico</w:t>
      </w:r>
    </w:p>
    <w:p w14:paraId="07F308F5" w14:textId="77777777" w:rsidR="00D932D5" w:rsidRPr="00D932D5" w:rsidRDefault="00D932D5" w:rsidP="005E3AFF">
      <w:pPr>
        <w:spacing w:after="0"/>
      </w:pPr>
    </w:p>
    <w:p w14:paraId="11AB6511" w14:textId="77515F56" w:rsidR="00D932D5" w:rsidRDefault="006E1B30" w:rsidP="005E3AFF">
      <w:pPr>
        <w:spacing w:after="0"/>
      </w:pPr>
      <w:r>
        <w:t>1</w:t>
      </w:r>
      <w:r w:rsidR="004029D7">
        <w:t>3</w:t>
      </w:r>
      <w:r>
        <w:t>:</w:t>
      </w:r>
      <w:r w:rsidR="004029D7">
        <w:t>0</w:t>
      </w:r>
      <w:r>
        <w:t>0</w:t>
      </w:r>
      <w:r w:rsidR="00D932D5" w:rsidRPr="00D932D5">
        <w:t xml:space="preserve"> </w:t>
      </w:r>
      <w:r w:rsidR="00D932D5" w:rsidRPr="00D932D5">
        <w:rPr>
          <w:b/>
          <w:bCs/>
        </w:rPr>
        <w:t>Conclusioni</w:t>
      </w:r>
      <w:r w:rsidR="00ED5897">
        <w:t xml:space="preserve">, G. </w:t>
      </w:r>
      <w:proofErr w:type="spellStart"/>
      <w:r w:rsidR="00D932D5" w:rsidRPr="00D932D5">
        <w:t>Vetritto</w:t>
      </w:r>
      <w:proofErr w:type="spellEnd"/>
      <w:r w:rsidR="00D932D5" w:rsidRPr="00D932D5">
        <w:t xml:space="preserve"> - Presidenza del Consiglio</w:t>
      </w:r>
      <w:r w:rsidR="00ED5897">
        <w:t>, Dipartimento DARA</w:t>
      </w:r>
    </w:p>
    <w:p w14:paraId="0D1C7739" w14:textId="77777777" w:rsidR="002D7E97" w:rsidRDefault="002D7E97" w:rsidP="005E3AFF">
      <w:pPr>
        <w:spacing w:after="0"/>
      </w:pPr>
    </w:p>
    <w:p w14:paraId="5C9C8D04" w14:textId="77777777" w:rsidR="002D7E97" w:rsidRDefault="002D7E97" w:rsidP="005E3AFF">
      <w:pPr>
        <w:spacing w:after="0"/>
      </w:pPr>
    </w:p>
    <w:p w14:paraId="6D5B1C0B" w14:textId="77777777" w:rsidR="002D7E97" w:rsidRDefault="002D7E97" w:rsidP="005E3AFF">
      <w:pPr>
        <w:spacing w:after="0"/>
      </w:pPr>
    </w:p>
    <w:p w14:paraId="1E291855" w14:textId="69CF4070" w:rsidR="002D7E97" w:rsidRPr="00D932D5" w:rsidRDefault="13C70278" w:rsidP="1CAB0CCC">
      <w:pPr>
        <w:spacing w:after="0"/>
      </w:pPr>
      <w:r w:rsidRPr="1CAB0CCC">
        <w:t>* in attesa conferma</w:t>
      </w:r>
    </w:p>
    <w:sectPr w:rsidR="002D7E97" w:rsidRPr="00D932D5" w:rsidSect="00550136">
      <w:headerReference w:type="default" r:id="rId7"/>
      <w:footerReference w:type="default" r:id="rId8"/>
      <w:pgSz w:w="11906" w:h="16838"/>
      <w:pgMar w:top="1417" w:right="1134" w:bottom="1134" w:left="1134" w:header="426" w:footer="708" w:gutter="0"/>
      <w:pgBorders w:offsetFrom="page">
        <w:top w:val="single" w:sz="24" w:space="24" w:color="215E99" w:themeColor="text2" w:themeTint="BF"/>
        <w:left w:val="single" w:sz="24" w:space="24" w:color="215E99" w:themeColor="text2" w:themeTint="BF"/>
        <w:bottom w:val="single" w:sz="24" w:space="24" w:color="215E99" w:themeColor="text2" w:themeTint="BF"/>
        <w:right w:val="single" w:sz="24" w:space="24" w:color="215E99" w:themeColor="text2" w:themeTint="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05BDB" w14:textId="77777777" w:rsidR="00F529EA" w:rsidRDefault="00F529EA" w:rsidP="00724B72">
      <w:pPr>
        <w:spacing w:after="0" w:line="240" w:lineRule="auto"/>
      </w:pPr>
      <w:r>
        <w:separator/>
      </w:r>
    </w:p>
  </w:endnote>
  <w:endnote w:type="continuationSeparator" w:id="0">
    <w:p w14:paraId="03D16838" w14:textId="77777777" w:rsidR="00F529EA" w:rsidRDefault="00F529EA" w:rsidP="00724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01C64" w14:textId="20D4B9B9" w:rsidR="00F439B1" w:rsidRDefault="00F439B1">
    <w:pPr>
      <w:pStyle w:val="Pidipagina"/>
    </w:pPr>
    <w:r>
      <w:rPr>
        <w:noProof/>
      </w:rPr>
      <w:t xml:space="preserve">    </w:t>
    </w:r>
    <w:r w:rsidRPr="00F439B1">
      <w:rPr>
        <w:noProof/>
      </w:rPr>
      <w:drawing>
        <wp:inline distT="0" distB="0" distL="0" distR="0" wp14:anchorId="7B42FCE2" wp14:editId="5E4E1ECE">
          <wp:extent cx="731520" cy="731520"/>
          <wp:effectExtent l="0" t="0" r="0" b="0"/>
          <wp:docPr id="863519501" name="Immagine 5" descr="Logo Ricerca di Sistema Elett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519501" name="Immagine 5" descr="Logo Ricerca di Sistema Elettr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r>
      <w:rPr>
        <w:noProof/>
      </w:rPr>
      <w:tab/>
    </w:r>
    <w:r>
      <w:rPr>
        <w:noProof/>
      </w:rPr>
      <w:tab/>
    </w:r>
    <w:r>
      <w:rPr>
        <w:noProof/>
      </w:rPr>
      <w:drawing>
        <wp:inline distT="0" distB="0" distL="0" distR="0" wp14:anchorId="4951BD1C" wp14:editId="298977F4">
          <wp:extent cx="1363980" cy="377861"/>
          <wp:effectExtent l="0" t="0" r="7620" b="3175"/>
          <wp:docPr id="2095318342" name="Immagine 3" descr="Regione Lombar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gione Lombar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4005" cy="39171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4E48D" w14:textId="77777777" w:rsidR="00F529EA" w:rsidRDefault="00F529EA" w:rsidP="00724B72">
      <w:pPr>
        <w:spacing w:after="0" w:line="240" w:lineRule="auto"/>
      </w:pPr>
      <w:r>
        <w:separator/>
      </w:r>
    </w:p>
  </w:footnote>
  <w:footnote w:type="continuationSeparator" w:id="0">
    <w:p w14:paraId="28D6AEC5" w14:textId="77777777" w:rsidR="00F529EA" w:rsidRDefault="00F529EA" w:rsidP="00724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21FE7" w14:textId="09038EC7" w:rsidR="00724B72" w:rsidRDefault="00724B72">
    <w:pPr>
      <w:pStyle w:val="Intestazione"/>
    </w:pPr>
    <w:r>
      <w:rPr>
        <w:noProof/>
      </w:rPr>
      <w:drawing>
        <wp:inline distT="0" distB="0" distL="0" distR="0" wp14:anchorId="59C6B9D3" wp14:editId="19927400">
          <wp:extent cx="1429897" cy="632460"/>
          <wp:effectExtent l="0" t="0" r="0" b="0"/>
          <wp:docPr id="1063314635" name="Immagine 2" descr="Logo ENEA&#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882466" name="Immagine 2" descr="Logo ENEA&#1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989" cy="642674"/>
                  </a:xfrm>
                  <a:prstGeom prst="rect">
                    <a:avLst/>
                  </a:prstGeom>
                  <a:noFill/>
                  <a:ln>
                    <a:noFill/>
                  </a:ln>
                </pic:spPr>
              </pic:pic>
            </a:graphicData>
          </a:graphic>
        </wp:inline>
      </w:drawing>
    </w:r>
    <w:r>
      <w:rPr>
        <w:rFonts w:ascii="Segoe UI" w:hAnsi="Segoe UI" w:cs="Segoe UI"/>
        <w:bCs/>
        <w:noProof/>
        <w:sz w:val="20"/>
        <w:szCs w:val="20"/>
        <w:lang w:eastAsia="ar-SA"/>
      </w:rPr>
      <w:t xml:space="preserve">   </w:t>
    </w:r>
    <w:r w:rsidR="00F439B1">
      <w:rPr>
        <w:noProof/>
      </w:rPr>
      <w:tab/>
    </w:r>
    <w:r w:rsidR="00E101A4">
      <w:rPr>
        <w:noProof/>
      </w:rPr>
      <w:t xml:space="preserve">          </w:t>
    </w:r>
    <w:r w:rsidR="00E101A4">
      <w:rPr>
        <w:noProof/>
      </w:rPr>
      <w:tab/>
    </w:r>
    <w:r w:rsidR="004E5A77" w:rsidRPr="004E5A77">
      <w:rPr>
        <w:noProof/>
      </w:rPr>
      <w:drawing>
        <wp:inline distT="0" distB="0" distL="0" distR="0" wp14:anchorId="02C98542" wp14:editId="1F3F2D04">
          <wp:extent cx="1920406" cy="594412"/>
          <wp:effectExtent l="0" t="0" r="3810" b="0"/>
          <wp:docPr id="996100436" name="Immagine 1" descr="Immagine che contiene loco dell'Osservatorio ENEA per le 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100436" name="Immagine 1" descr="Immagine che contiene loco dell'Osservatorio ENEA per le CER"/>
                  <pic:cNvPicPr/>
                </pic:nvPicPr>
                <pic:blipFill>
                  <a:blip r:embed="rId2"/>
                  <a:stretch>
                    <a:fillRect/>
                  </a:stretch>
                </pic:blipFill>
                <pic:spPr>
                  <a:xfrm>
                    <a:off x="0" y="0"/>
                    <a:ext cx="1920406" cy="594412"/>
                  </a:xfrm>
                  <a:prstGeom prst="rect">
                    <a:avLst/>
                  </a:prstGeom>
                </pic:spPr>
              </pic:pic>
            </a:graphicData>
          </a:graphic>
        </wp:inline>
      </w:drawing>
    </w:r>
    <w:r w:rsidR="00F439B1">
      <w:rPr>
        <w:noProof/>
      </w:rPr>
      <w:tab/>
    </w:r>
    <w:r w:rsidR="00F439B1">
      <w:rPr>
        <w:rFonts w:ascii="Segoe UI" w:hAnsi="Segoe UI" w:cs="Segoe UI"/>
        <w:bCs/>
        <w:noProof/>
        <w:sz w:val="20"/>
        <w:szCs w:val="20"/>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71FEF"/>
    <w:multiLevelType w:val="hybridMultilevel"/>
    <w:tmpl w:val="29AE4722"/>
    <w:lvl w:ilvl="0" w:tplc="91CCD940">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3ADB46"/>
    <w:multiLevelType w:val="hybridMultilevel"/>
    <w:tmpl w:val="FFFFFFFF"/>
    <w:lvl w:ilvl="0" w:tplc="DA881E0E">
      <w:start w:val="1"/>
      <w:numFmt w:val="bullet"/>
      <w:lvlText w:val=""/>
      <w:lvlJc w:val="left"/>
      <w:pPr>
        <w:ind w:left="720" w:hanging="360"/>
      </w:pPr>
      <w:rPr>
        <w:rFonts w:ascii="Symbol" w:hAnsi="Symbol" w:hint="default"/>
      </w:rPr>
    </w:lvl>
    <w:lvl w:ilvl="1" w:tplc="76866F84">
      <w:start w:val="1"/>
      <w:numFmt w:val="bullet"/>
      <w:lvlText w:val="o"/>
      <w:lvlJc w:val="left"/>
      <w:pPr>
        <w:ind w:left="1440" w:hanging="360"/>
      </w:pPr>
      <w:rPr>
        <w:rFonts w:ascii="Courier New" w:hAnsi="Courier New" w:hint="default"/>
      </w:rPr>
    </w:lvl>
    <w:lvl w:ilvl="2" w:tplc="792883B4">
      <w:start w:val="1"/>
      <w:numFmt w:val="bullet"/>
      <w:lvlText w:val=""/>
      <w:lvlJc w:val="left"/>
      <w:pPr>
        <w:ind w:left="2160" w:hanging="360"/>
      </w:pPr>
      <w:rPr>
        <w:rFonts w:ascii="Wingdings" w:hAnsi="Wingdings" w:hint="default"/>
      </w:rPr>
    </w:lvl>
    <w:lvl w:ilvl="3" w:tplc="04128ADE">
      <w:start w:val="1"/>
      <w:numFmt w:val="bullet"/>
      <w:lvlText w:val=""/>
      <w:lvlJc w:val="left"/>
      <w:pPr>
        <w:ind w:left="2880" w:hanging="360"/>
      </w:pPr>
      <w:rPr>
        <w:rFonts w:ascii="Symbol" w:hAnsi="Symbol" w:hint="default"/>
      </w:rPr>
    </w:lvl>
    <w:lvl w:ilvl="4" w:tplc="D86A1198">
      <w:start w:val="1"/>
      <w:numFmt w:val="bullet"/>
      <w:lvlText w:val="o"/>
      <w:lvlJc w:val="left"/>
      <w:pPr>
        <w:ind w:left="3600" w:hanging="360"/>
      </w:pPr>
      <w:rPr>
        <w:rFonts w:ascii="Courier New" w:hAnsi="Courier New" w:hint="default"/>
      </w:rPr>
    </w:lvl>
    <w:lvl w:ilvl="5" w:tplc="5A420D72">
      <w:start w:val="1"/>
      <w:numFmt w:val="bullet"/>
      <w:lvlText w:val=""/>
      <w:lvlJc w:val="left"/>
      <w:pPr>
        <w:ind w:left="4320" w:hanging="360"/>
      </w:pPr>
      <w:rPr>
        <w:rFonts w:ascii="Wingdings" w:hAnsi="Wingdings" w:hint="default"/>
      </w:rPr>
    </w:lvl>
    <w:lvl w:ilvl="6" w:tplc="25E4251A">
      <w:start w:val="1"/>
      <w:numFmt w:val="bullet"/>
      <w:lvlText w:val=""/>
      <w:lvlJc w:val="left"/>
      <w:pPr>
        <w:ind w:left="5040" w:hanging="360"/>
      </w:pPr>
      <w:rPr>
        <w:rFonts w:ascii="Symbol" w:hAnsi="Symbol" w:hint="default"/>
      </w:rPr>
    </w:lvl>
    <w:lvl w:ilvl="7" w:tplc="DC507EDA">
      <w:start w:val="1"/>
      <w:numFmt w:val="bullet"/>
      <w:lvlText w:val="o"/>
      <w:lvlJc w:val="left"/>
      <w:pPr>
        <w:ind w:left="5760" w:hanging="360"/>
      </w:pPr>
      <w:rPr>
        <w:rFonts w:ascii="Courier New" w:hAnsi="Courier New" w:hint="default"/>
      </w:rPr>
    </w:lvl>
    <w:lvl w:ilvl="8" w:tplc="D1569096">
      <w:start w:val="1"/>
      <w:numFmt w:val="bullet"/>
      <w:lvlText w:val=""/>
      <w:lvlJc w:val="left"/>
      <w:pPr>
        <w:ind w:left="6480" w:hanging="360"/>
      </w:pPr>
      <w:rPr>
        <w:rFonts w:ascii="Wingdings" w:hAnsi="Wingdings" w:hint="default"/>
      </w:rPr>
    </w:lvl>
  </w:abstractNum>
  <w:abstractNum w:abstractNumId="2" w15:restartNumberingAfterBreak="0">
    <w:nsid w:val="4DAF0F38"/>
    <w:multiLevelType w:val="hybridMultilevel"/>
    <w:tmpl w:val="FFFFFFFF"/>
    <w:lvl w:ilvl="0" w:tplc="4DAACA78">
      <w:start w:val="1"/>
      <w:numFmt w:val="bullet"/>
      <w:lvlText w:val=""/>
      <w:lvlJc w:val="left"/>
      <w:pPr>
        <w:ind w:left="720" w:hanging="360"/>
      </w:pPr>
      <w:rPr>
        <w:rFonts w:ascii="Symbol" w:hAnsi="Symbol" w:hint="default"/>
      </w:rPr>
    </w:lvl>
    <w:lvl w:ilvl="1" w:tplc="F12CC6BA">
      <w:start w:val="1"/>
      <w:numFmt w:val="bullet"/>
      <w:lvlText w:val="o"/>
      <w:lvlJc w:val="left"/>
      <w:pPr>
        <w:ind w:left="1440" w:hanging="360"/>
      </w:pPr>
      <w:rPr>
        <w:rFonts w:ascii="Courier New" w:hAnsi="Courier New" w:hint="default"/>
      </w:rPr>
    </w:lvl>
    <w:lvl w:ilvl="2" w:tplc="4948DE20">
      <w:start w:val="1"/>
      <w:numFmt w:val="bullet"/>
      <w:lvlText w:val=""/>
      <w:lvlJc w:val="left"/>
      <w:pPr>
        <w:ind w:left="2160" w:hanging="360"/>
      </w:pPr>
      <w:rPr>
        <w:rFonts w:ascii="Wingdings" w:hAnsi="Wingdings" w:hint="default"/>
      </w:rPr>
    </w:lvl>
    <w:lvl w:ilvl="3" w:tplc="F4168B9C">
      <w:start w:val="1"/>
      <w:numFmt w:val="bullet"/>
      <w:lvlText w:val=""/>
      <w:lvlJc w:val="left"/>
      <w:pPr>
        <w:ind w:left="2880" w:hanging="360"/>
      </w:pPr>
      <w:rPr>
        <w:rFonts w:ascii="Symbol" w:hAnsi="Symbol" w:hint="default"/>
      </w:rPr>
    </w:lvl>
    <w:lvl w:ilvl="4" w:tplc="71ECFD6E">
      <w:start w:val="1"/>
      <w:numFmt w:val="bullet"/>
      <w:lvlText w:val="o"/>
      <w:lvlJc w:val="left"/>
      <w:pPr>
        <w:ind w:left="3600" w:hanging="360"/>
      </w:pPr>
      <w:rPr>
        <w:rFonts w:ascii="Courier New" w:hAnsi="Courier New" w:hint="default"/>
      </w:rPr>
    </w:lvl>
    <w:lvl w:ilvl="5" w:tplc="F4701464">
      <w:start w:val="1"/>
      <w:numFmt w:val="bullet"/>
      <w:lvlText w:val=""/>
      <w:lvlJc w:val="left"/>
      <w:pPr>
        <w:ind w:left="4320" w:hanging="360"/>
      </w:pPr>
      <w:rPr>
        <w:rFonts w:ascii="Wingdings" w:hAnsi="Wingdings" w:hint="default"/>
      </w:rPr>
    </w:lvl>
    <w:lvl w:ilvl="6" w:tplc="839090F6">
      <w:start w:val="1"/>
      <w:numFmt w:val="bullet"/>
      <w:lvlText w:val=""/>
      <w:lvlJc w:val="left"/>
      <w:pPr>
        <w:ind w:left="5040" w:hanging="360"/>
      </w:pPr>
      <w:rPr>
        <w:rFonts w:ascii="Symbol" w:hAnsi="Symbol" w:hint="default"/>
      </w:rPr>
    </w:lvl>
    <w:lvl w:ilvl="7" w:tplc="94F4E81C">
      <w:start w:val="1"/>
      <w:numFmt w:val="bullet"/>
      <w:lvlText w:val="o"/>
      <w:lvlJc w:val="left"/>
      <w:pPr>
        <w:ind w:left="5760" w:hanging="360"/>
      </w:pPr>
      <w:rPr>
        <w:rFonts w:ascii="Courier New" w:hAnsi="Courier New" w:hint="default"/>
      </w:rPr>
    </w:lvl>
    <w:lvl w:ilvl="8" w:tplc="14A0B63A">
      <w:start w:val="1"/>
      <w:numFmt w:val="bullet"/>
      <w:lvlText w:val=""/>
      <w:lvlJc w:val="left"/>
      <w:pPr>
        <w:ind w:left="6480" w:hanging="360"/>
      </w:pPr>
      <w:rPr>
        <w:rFonts w:ascii="Wingdings" w:hAnsi="Wingdings" w:hint="default"/>
      </w:rPr>
    </w:lvl>
  </w:abstractNum>
  <w:abstractNum w:abstractNumId="3" w15:restartNumberingAfterBreak="0">
    <w:nsid w:val="7FE67B05"/>
    <w:multiLevelType w:val="multilevel"/>
    <w:tmpl w:val="5DA020AC"/>
    <w:lvl w:ilvl="0">
      <w:start w:val="9"/>
      <w:numFmt w:val="decimal"/>
      <w:lvlText w:val="%1"/>
      <w:lvlJc w:val="left"/>
      <w:pPr>
        <w:ind w:left="420" w:hanging="420"/>
      </w:pPr>
      <w:rPr>
        <w:rFonts w:hint="default"/>
      </w:rPr>
    </w:lvl>
    <w:lvl w:ilvl="1">
      <w:start w:val="4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0417985">
    <w:abstractNumId w:val="1"/>
  </w:num>
  <w:num w:numId="2" w16cid:durableId="1539127968">
    <w:abstractNumId w:val="2"/>
  </w:num>
  <w:num w:numId="3" w16cid:durableId="35738274">
    <w:abstractNumId w:val="0"/>
  </w:num>
  <w:num w:numId="4" w16cid:durableId="1482190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D5"/>
    <w:rsid w:val="00012652"/>
    <w:rsid w:val="000131BD"/>
    <w:rsid w:val="0002143B"/>
    <w:rsid w:val="000217B2"/>
    <w:rsid w:val="000569AE"/>
    <w:rsid w:val="000755CD"/>
    <w:rsid w:val="00091951"/>
    <w:rsid w:val="000D6F50"/>
    <w:rsid w:val="001069BA"/>
    <w:rsid w:val="0011B5FC"/>
    <w:rsid w:val="00134CCA"/>
    <w:rsid w:val="001369DE"/>
    <w:rsid w:val="00196483"/>
    <w:rsid w:val="001C08AC"/>
    <w:rsid w:val="001D4959"/>
    <w:rsid w:val="001E3D15"/>
    <w:rsid w:val="00204CB7"/>
    <w:rsid w:val="00205121"/>
    <w:rsid w:val="002353E0"/>
    <w:rsid w:val="00275748"/>
    <w:rsid w:val="002B399B"/>
    <w:rsid w:val="002C1621"/>
    <w:rsid w:val="002D7E97"/>
    <w:rsid w:val="002F761C"/>
    <w:rsid w:val="00300FAD"/>
    <w:rsid w:val="00332290"/>
    <w:rsid w:val="003379A3"/>
    <w:rsid w:val="0035163C"/>
    <w:rsid w:val="003576F7"/>
    <w:rsid w:val="00380234"/>
    <w:rsid w:val="0038535C"/>
    <w:rsid w:val="003866BB"/>
    <w:rsid w:val="003B7418"/>
    <w:rsid w:val="004029D7"/>
    <w:rsid w:val="004658D9"/>
    <w:rsid w:val="00471DD7"/>
    <w:rsid w:val="004A2DF3"/>
    <w:rsid w:val="004B1C10"/>
    <w:rsid w:val="004E1717"/>
    <w:rsid w:val="004E5A77"/>
    <w:rsid w:val="004F485E"/>
    <w:rsid w:val="00517070"/>
    <w:rsid w:val="00550136"/>
    <w:rsid w:val="00567818"/>
    <w:rsid w:val="00584640"/>
    <w:rsid w:val="005A4113"/>
    <w:rsid w:val="005D425C"/>
    <w:rsid w:val="005E3AFF"/>
    <w:rsid w:val="005E6F9D"/>
    <w:rsid w:val="005E7D60"/>
    <w:rsid w:val="005F6CF4"/>
    <w:rsid w:val="00624003"/>
    <w:rsid w:val="00625931"/>
    <w:rsid w:val="006672B6"/>
    <w:rsid w:val="00690455"/>
    <w:rsid w:val="006E1B30"/>
    <w:rsid w:val="006E5912"/>
    <w:rsid w:val="00724B72"/>
    <w:rsid w:val="007413AF"/>
    <w:rsid w:val="00771EA4"/>
    <w:rsid w:val="00772E79"/>
    <w:rsid w:val="00791FB9"/>
    <w:rsid w:val="007A771E"/>
    <w:rsid w:val="007B7604"/>
    <w:rsid w:val="007C35F1"/>
    <w:rsid w:val="007D3C0B"/>
    <w:rsid w:val="00805191"/>
    <w:rsid w:val="008126E6"/>
    <w:rsid w:val="00813253"/>
    <w:rsid w:val="00816F26"/>
    <w:rsid w:val="00830F45"/>
    <w:rsid w:val="0084280B"/>
    <w:rsid w:val="008A303C"/>
    <w:rsid w:val="008B088D"/>
    <w:rsid w:val="008C2080"/>
    <w:rsid w:val="008C7CA9"/>
    <w:rsid w:val="008F4039"/>
    <w:rsid w:val="009214EE"/>
    <w:rsid w:val="00925884"/>
    <w:rsid w:val="00966873"/>
    <w:rsid w:val="009A3EAD"/>
    <w:rsid w:val="009C2EAA"/>
    <w:rsid w:val="009D50CC"/>
    <w:rsid w:val="009F33B6"/>
    <w:rsid w:val="009F4F16"/>
    <w:rsid w:val="00A00632"/>
    <w:rsid w:val="00A06DDA"/>
    <w:rsid w:val="00A44515"/>
    <w:rsid w:val="00A476C5"/>
    <w:rsid w:val="00A9067A"/>
    <w:rsid w:val="00A94A46"/>
    <w:rsid w:val="00AB1C88"/>
    <w:rsid w:val="00AE2155"/>
    <w:rsid w:val="00AE2EF0"/>
    <w:rsid w:val="00B16814"/>
    <w:rsid w:val="00B52E19"/>
    <w:rsid w:val="00B721C3"/>
    <w:rsid w:val="00B815A7"/>
    <w:rsid w:val="00B84159"/>
    <w:rsid w:val="00B9548F"/>
    <w:rsid w:val="00BB2A34"/>
    <w:rsid w:val="00BB7F8D"/>
    <w:rsid w:val="00BC1C7C"/>
    <w:rsid w:val="00BC2FD4"/>
    <w:rsid w:val="00C237A7"/>
    <w:rsid w:val="00C94665"/>
    <w:rsid w:val="00CA0C8E"/>
    <w:rsid w:val="00CB35E0"/>
    <w:rsid w:val="00CE6BCB"/>
    <w:rsid w:val="00CF4A07"/>
    <w:rsid w:val="00D932D5"/>
    <w:rsid w:val="00DD6820"/>
    <w:rsid w:val="00E00DAC"/>
    <w:rsid w:val="00E101A4"/>
    <w:rsid w:val="00E120AE"/>
    <w:rsid w:val="00E14C84"/>
    <w:rsid w:val="00E16392"/>
    <w:rsid w:val="00E30670"/>
    <w:rsid w:val="00E40F77"/>
    <w:rsid w:val="00E53173"/>
    <w:rsid w:val="00E55C6E"/>
    <w:rsid w:val="00E57260"/>
    <w:rsid w:val="00E77DD1"/>
    <w:rsid w:val="00EA260D"/>
    <w:rsid w:val="00EB5A3F"/>
    <w:rsid w:val="00ED5897"/>
    <w:rsid w:val="00F439B1"/>
    <w:rsid w:val="00F529EA"/>
    <w:rsid w:val="00F70866"/>
    <w:rsid w:val="00F74A11"/>
    <w:rsid w:val="00FB4C6E"/>
    <w:rsid w:val="00FC2A8D"/>
    <w:rsid w:val="02C163F0"/>
    <w:rsid w:val="03CAABCE"/>
    <w:rsid w:val="0487C48E"/>
    <w:rsid w:val="09D531F4"/>
    <w:rsid w:val="0BF4C1CE"/>
    <w:rsid w:val="1060E3F9"/>
    <w:rsid w:val="10C4418C"/>
    <w:rsid w:val="13C70278"/>
    <w:rsid w:val="1407BDE0"/>
    <w:rsid w:val="16DFE105"/>
    <w:rsid w:val="1A260BB6"/>
    <w:rsid w:val="1B70678C"/>
    <w:rsid w:val="1B9C8B05"/>
    <w:rsid w:val="1CAB0CCC"/>
    <w:rsid w:val="1FB583D4"/>
    <w:rsid w:val="1FE74477"/>
    <w:rsid w:val="203C32A8"/>
    <w:rsid w:val="20B71047"/>
    <w:rsid w:val="20BCDE2F"/>
    <w:rsid w:val="22BA7B5C"/>
    <w:rsid w:val="252FB7A3"/>
    <w:rsid w:val="2AE9254E"/>
    <w:rsid w:val="312A6372"/>
    <w:rsid w:val="33258FB0"/>
    <w:rsid w:val="36C4C1E9"/>
    <w:rsid w:val="3B388D36"/>
    <w:rsid w:val="3D31E5A0"/>
    <w:rsid w:val="3E13FB4E"/>
    <w:rsid w:val="403213D4"/>
    <w:rsid w:val="41B98ABA"/>
    <w:rsid w:val="43A48D6E"/>
    <w:rsid w:val="46E69C4F"/>
    <w:rsid w:val="47B49D35"/>
    <w:rsid w:val="4A347FD5"/>
    <w:rsid w:val="4B560D50"/>
    <w:rsid w:val="4BA84F5A"/>
    <w:rsid w:val="4EBBF052"/>
    <w:rsid w:val="566AC043"/>
    <w:rsid w:val="56B68A39"/>
    <w:rsid w:val="576A7E52"/>
    <w:rsid w:val="57EC141C"/>
    <w:rsid w:val="5D81A87F"/>
    <w:rsid w:val="5E47F43B"/>
    <w:rsid w:val="5EF184A5"/>
    <w:rsid w:val="5F81BFC7"/>
    <w:rsid w:val="6248301C"/>
    <w:rsid w:val="6268A3FF"/>
    <w:rsid w:val="6791F8F0"/>
    <w:rsid w:val="67E988B7"/>
    <w:rsid w:val="67F93289"/>
    <w:rsid w:val="6BFA5D49"/>
    <w:rsid w:val="6F425282"/>
    <w:rsid w:val="72C09C78"/>
    <w:rsid w:val="73A59F46"/>
    <w:rsid w:val="76802629"/>
    <w:rsid w:val="779197B9"/>
    <w:rsid w:val="7A406EED"/>
    <w:rsid w:val="7A9DC29A"/>
    <w:rsid w:val="7AA14F4A"/>
    <w:rsid w:val="7DF7273C"/>
    <w:rsid w:val="7EEA915C"/>
    <w:rsid w:val="7F8F48A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A74AA"/>
  <w15:chartTrackingRefBased/>
  <w15:docId w15:val="{D0030DFF-C924-4630-B0D7-BB7BC1AF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932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932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932D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932D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932D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932D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932D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932D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932D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932D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932D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932D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932D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932D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932D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932D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932D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932D5"/>
    <w:rPr>
      <w:rFonts w:eastAsiaTheme="majorEastAsia" w:cstheme="majorBidi"/>
      <w:color w:val="272727" w:themeColor="text1" w:themeTint="D8"/>
    </w:rPr>
  </w:style>
  <w:style w:type="paragraph" w:styleId="Titolo">
    <w:name w:val="Title"/>
    <w:basedOn w:val="Normale"/>
    <w:next w:val="Normale"/>
    <w:link w:val="TitoloCarattere"/>
    <w:uiPriority w:val="10"/>
    <w:qFormat/>
    <w:rsid w:val="00D932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932D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932D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932D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932D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932D5"/>
    <w:rPr>
      <w:i/>
      <w:iCs/>
      <w:color w:val="404040" w:themeColor="text1" w:themeTint="BF"/>
    </w:rPr>
  </w:style>
  <w:style w:type="paragraph" w:styleId="Paragrafoelenco">
    <w:name w:val="List Paragraph"/>
    <w:basedOn w:val="Normale"/>
    <w:uiPriority w:val="34"/>
    <w:qFormat/>
    <w:rsid w:val="00D932D5"/>
    <w:pPr>
      <w:ind w:left="720"/>
      <w:contextualSpacing/>
    </w:pPr>
  </w:style>
  <w:style w:type="character" w:styleId="Enfasiintensa">
    <w:name w:val="Intense Emphasis"/>
    <w:basedOn w:val="Carpredefinitoparagrafo"/>
    <w:uiPriority w:val="21"/>
    <w:qFormat/>
    <w:rsid w:val="00D932D5"/>
    <w:rPr>
      <w:i/>
      <w:iCs/>
      <w:color w:val="0F4761" w:themeColor="accent1" w:themeShade="BF"/>
    </w:rPr>
  </w:style>
  <w:style w:type="paragraph" w:styleId="Citazioneintensa">
    <w:name w:val="Intense Quote"/>
    <w:basedOn w:val="Normale"/>
    <w:next w:val="Normale"/>
    <w:link w:val="CitazioneintensaCarattere"/>
    <w:uiPriority w:val="30"/>
    <w:qFormat/>
    <w:rsid w:val="00D932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932D5"/>
    <w:rPr>
      <w:i/>
      <w:iCs/>
      <w:color w:val="0F4761" w:themeColor="accent1" w:themeShade="BF"/>
    </w:rPr>
  </w:style>
  <w:style w:type="character" w:styleId="Riferimentointenso">
    <w:name w:val="Intense Reference"/>
    <w:basedOn w:val="Carpredefinitoparagrafo"/>
    <w:uiPriority w:val="32"/>
    <w:qFormat/>
    <w:rsid w:val="00D932D5"/>
    <w:rPr>
      <w:b/>
      <w:bCs/>
      <w:smallCaps/>
      <w:color w:val="0F4761" w:themeColor="accent1" w:themeShade="BF"/>
      <w:spacing w:val="5"/>
    </w:rPr>
  </w:style>
  <w:style w:type="character" w:styleId="Rimandocommento">
    <w:name w:val="annotation reference"/>
    <w:basedOn w:val="Carpredefinitoparagrafo"/>
    <w:uiPriority w:val="99"/>
    <w:semiHidden/>
    <w:unhideWhenUsed/>
    <w:rsid w:val="00791FB9"/>
    <w:rPr>
      <w:sz w:val="16"/>
      <w:szCs w:val="16"/>
    </w:rPr>
  </w:style>
  <w:style w:type="paragraph" w:styleId="Testocommento">
    <w:name w:val="annotation text"/>
    <w:basedOn w:val="Normale"/>
    <w:link w:val="TestocommentoCarattere"/>
    <w:uiPriority w:val="99"/>
    <w:unhideWhenUsed/>
    <w:rsid w:val="00791FB9"/>
    <w:pPr>
      <w:spacing w:line="240" w:lineRule="auto"/>
    </w:pPr>
    <w:rPr>
      <w:sz w:val="20"/>
      <w:szCs w:val="20"/>
    </w:rPr>
  </w:style>
  <w:style w:type="character" w:customStyle="1" w:styleId="TestocommentoCarattere">
    <w:name w:val="Testo commento Carattere"/>
    <w:basedOn w:val="Carpredefinitoparagrafo"/>
    <w:link w:val="Testocommento"/>
    <w:uiPriority w:val="99"/>
    <w:rsid w:val="00791FB9"/>
    <w:rPr>
      <w:sz w:val="20"/>
      <w:szCs w:val="20"/>
    </w:rPr>
  </w:style>
  <w:style w:type="paragraph" w:styleId="Soggettocommento">
    <w:name w:val="annotation subject"/>
    <w:basedOn w:val="Testocommento"/>
    <w:next w:val="Testocommento"/>
    <w:link w:val="SoggettocommentoCarattere"/>
    <w:uiPriority w:val="99"/>
    <w:semiHidden/>
    <w:unhideWhenUsed/>
    <w:rsid w:val="00791FB9"/>
    <w:rPr>
      <w:b/>
      <w:bCs/>
    </w:rPr>
  </w:style>
  <w:style w:type="character" w:customStyle="1" w:styleId="SoggettocommentoCarattere">
    <w:name w:val="Soggetto commento Carattere"/>
    <w:basedOn w:val="TestocommentoCarattere"/>
    <w:link w:val="Soggettocommento"/>
    <w:uiPriority w:val="99"/>
    <w:semiHidden/>
    <w:rsid w:val="00791FB9"/>
    <w:rPr>
      <w:b/>
      <w:bCs/>
      <w:sz w:val="20"/>
      <w:szCs w:val="20"/>
    </w:rPr>
  </w:style>
  <w:style w:type="paragraph" w:styleId="Intestazione">
    <w:name w:val="header"/>
    <w:basedOn w:val="Normale"/>
    <w:link w:val="IntestazioneCarattere"/>
    <w:uiPriority w:val="99"/>
    <w:unhideWhenUsed/>
    <w:rsid w:val="00724B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4B72"/>
  </w:style>
  <w:style w:type="paragraph" w:styleId="Pidipagina">
    <w:name w:val="footer"/>
    <w:basedOn w:val="Normale"/>
    <w:link w:val="PidipaginaCarattere"/>
    <w:uiPriority w:val="99"/>
    <w:unhideWhenUsed/>
    <w:rsid w:val="00724B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4B72"/>
  </w:style>
  <w:style w:type="paragraph" w:styleId="NormaleWeb">
    <w:name w:val="Normal (Web)"/>
    <w:basedOn w:val="Normale"/>
    <w:uiPriority w:val="99"/>
    <w:semiHidden/>
    <w:unhideWhenUsed/>
    <w:rsid w:val="00F439B1"/>
    <w:rPr>
      <w:rFonts w:ascii="Times New Roman" w:hAnsi="Times New Roman" w:cs="Times New Roman"/>
      <w:sz w:val="24"/>
      <w:szCs w:val="24"/>
    </w:rPr>
  </w:style>
  <w:style w:type="paragraph" w:customStyle="1" w:styleId="xxelementtoproof">
    <w:name w:val="x_xelementtoproof"/>
    <w:basedOn w:val="Normale"/>
    <w:rsid w:val="002D7E9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148934">
      <w:bodyDiv w:val="1"/>
      <w:marLeft w:val="0"/>
      <w:marRight w:val="0"/>
      <w:marTop w:val="0"/>
      <w:marBottom w:val="0"/>
      <w:divBdr>
        <w:top w:val="none" w:sz="0" w:space="0" w:color="auto"/>
        <w:left w:val="none" w:sz="0" w:space="0" w:color="auto"/>
        <w:bottom w:val="none" w:sz="0" w:space="0" w:color="auto"/>
        <w:right w:val="none" w:sz="0" w:space="0" w:color="auto"/>
      </w:divBdr>
    </w:div>
    <w:div w:id="869144671">
      <w:bodyDiv w:val="1"/>
      <w:marLeft w:val="0"/>
      <w:marRight w:val="0"/>
      <w:marTop w:val="0"/>
      <w:marBottom w:val="0"/>
      <w:divBdr>
        <w:top w:val="none" w:sz="0" w:space="0" w:color="auto"/>
        <w:left w:val="none" w:sz="0" w:space="0" w:color="auto"/>
        <w:bottom w:val="none" w:sz="0" w:space="0" w:color="auto"/>
        <w:right w:val="none" w:sz="0" w:space="0" w:color="auto"/>
      </w:divBdr>
    </w:div>
    <w:div w:id="1821115761">
      <w:bodyDiv w:val="1"/>
      <w:marLeft w:val="0"/>
      <w:marRight w:val="0"/>
      <w:marTop w:val="0"/>
      <w:marBottom w:val="0"/>
      <w:divBdr>
        <w:top w:val="none" w:sz="0" w:space="0" w:color="auto"/>
        <w:left w:val="none" w:sz="0" w:space="0" w:color="auto"/>
        <w:bottom w:val="none" w:sz="0" w:space="0" w:color="auto"/>
        <w:right w:val="none" w:sz="0" w:space="0" w:color="auto"/>
      </w:divBdr>
    </w:div>
    <w:div w:id="195671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Zangheri</dc:creator>
  <cp:keywords/>
  <dc:description/>
  <cp:lastModifiedBy>Nicoletta Gozo</cp:lastModifiedBy>
  <cp:revision>2</cp:revision>
  <dcterms:created xsi:type="dcterms:W3CDTF">2025-04-09T09:04:00Z</dcterms:created>
  <dcterms:modified xsi:type="dcterms:W3CDTF">2025-04-09T09:04:00Z</dcterms:modified>
</cp:coreProperties>
</file>